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2FA" w:rsidRP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285850">
      <w:pPr>
        <w:spacing w:line="480" w:lineRule="auto"/>
        <w:rPr>
          <w:rFonts w:ascii="Times New Roman" w:hAnsi="Times New Roman" w:cs="Times New Roman"/>
          <w:b/>
          <w:sz w:val="24"/>
          <w:szCs w:val="24"/>
        </w:rPr>
      </w:pPr>
    </w:p>
    <w:p w:rsidR="001E42FA" w:rsidRPr="001E42FA" w:rsidRDefault="00C91110" w:rsidP="001E42FA">
      <w:pPr>
        <w:spacing w:line="480" w:lineRule="auto"/>
        <w:jc w:val="center"/>
        <w:rPr>
          <w:rFonts w:ascii="Times New Roman" w:hAnsi="Times New Roman" w:cs="Times New Roman"/>
          <w:sz w:val="24"/>
          <w:szCs w:val="24"/>
        </w:rPr>
      </w:pPr>
      <w:r w:rsidRPr="001E42FA">
        <w:rPr>
          <w:rFonts w:ascii="Times New Roman" w:hAnsi="Times New Roman" w:cs="Times New Roman"/>
          <w:sz w:val="24"/>
          <w:szCs w:val="24"/>
        </w:rPr>
        <w:t>Lobes of a Brain</w:t>
      </w:r>
    </w:p>
    <w:p w:rsidR="001E42FA" w:rsidRPr="001E42FA" w:rsidRDefault="00C91110" w:rsidP="001E42FA">
      <w:pPr>
        <w:spacing w:line="480" w:lineRule="auto"/>
        <w:jc w:val="center"/>
        <w:rPr>
          <w:rFonts w:ascii="Times New Roman" w:hAnsi="Times New Roman" w:cs="Times New Roman"/>
          <w:sz w:val="24"/>
          <w:szCs w:val="24"/>
        </w:rPr>
      </w:pPr>
      <w:r w:rsidRPr="001E42FA">
        <w:rPr>
          <w:rFonts w:ascii="Times New Roman" w:hAnsi="Times New Roman" w:cs="Times New Roman"/>
          <w:sz w:val="24"/>
          <w:szCs w:val="24"/>
        </w:rPr>
        <w:t xml:space="preserve">Name </w:t>
      </w:r>
    </w:p>
    <w:p w:rsidR="001E42FA" w:rsidRPr="001E42FA" w:rsidRDefault="00C91110" w:rsidP="001E42FA">
      <w:pPr>
        <w:spacing w:line="480" w:lineRule="auto"/>
        <w:jc w:val="center"/>
        <w:rPr>
          <w:rFonts w:ascii="Times New Roman" w:hAnsi="Times New Roman" w:cs="Times New Roman"/>
          <w:sz w:val="24"/>
          <w:szCs w:val="24"/>
        </w:rPr>
      </w:pPr>
      <w:r w:rsidRPr="001E42FA">
        <w:rPr>
          <w:rFonts w:ascii="Times New Roman" w:hAnsi="Times New Roman" w:cs="Times New Roman"/>
          <w:sz w:val="24"/>
          <w:szCs w:val="24"/>
        </w:rPr>
        <w:t xml:space="preserve">Institutional Affiliation </w:t>
      </w: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jc w:val="center"/>
        <w:rPr>
          <w:rFonts w:ascii="Times New Roman" w:hAnsi="Times New Roman" w:cs="Times New Roman"/>
          <w:b/>
          <w:sz w:val="24"/>
          <w:szCs w:val="24"/>
        </w:rPr>
      </w:pPr>
    </w:p>
    <w:p w:rsidR="001E42FA" w:rsidRDefault="001E42FA" w:rsidP="001E42FA">
      <w:pPr>
        <w:spacing w:line="480" w:lineRule="auto"/>
        <w:rPr>
          <w:rFonts w:ascii="Times New Roman" w:hAnsi="Times New Roman" w:cs="Times New Roman"/>
          <w:b/>
          <w:sz w:val="24"/>
          <w:szCs w:val="24"/>
        </w:rPr>
      </w:pPr>
    </w:p>
    <w:p w:rsidR="001E42FA" w:rsidRDefault="001E42FA" w:rsidP="001E42FA">
      <w:pPr>
        <w:spacing w:line="480" w:lineRule="auto"/>
        <w:rPr>
          <w:rFonts w:ascii="Times New Roman" w:hAnsi="Times New Roman" w:cs="Times New Roman"/>
          <w:b/>
          <w:sz w:val="24"/>
          <w:szCs w:val="24"/>
        </w:rPr>
      </w:pPr>
    </w:p>
    <w:p w:rsidR="00285850" w:rsidRDefault="00285850" w:rsidP="001E42FA">
      <w:pPr>
        <w:spacing w:line="480" w:lineRule="auto"/>
        <w:jc w:val="center"/>
        <w:rPr>
          <w:rFonts w:ascii="Times New Roman" w:hAnsi="Times New Roman" w:cs="Times New Roman"/>
          <w:b/>
          <w:sz w:val="24"/>
          <w:szCs w:val="24"/>
        </w:rPr>
      </w:pPr>
    </w:p>
    <w:p w:rsidR="00285850" w:rsidRDefault="00285850" w:rsidP="001E42FA">
      <w:pPr>
        <w:spacing w:line="480" w:lineRule="auto"/>
        <w:jc w:val="center"/>
        <w:rPr>
          <w:rFonts w:ascii="Times New Roman" w:hAnsi="Times New Roman" w:cs="Times New Roman"/>
          <w:b/>
          <w:sz w:val="24"/>
          <w:szCs w:val="24"/>
        </w:rPr>
      </w:pPr>
    </w:p>
    <w:p w:rsidR="00B3621A" w:rsidRPr="001E42FA" w:rsidRDefault="00C91110" w:rsidP="001E42FA">
      <w:pPr>
        <w:spacing w:line="480" w:lineRule="auto"/>
        <w:jc w:val="center"/>
        <w:rPr>
          <w:rFonts w:ascii="Times New Roman" w:hAnsi="Times New Roman" w:cs="Times New Roman"/>
          <w:b/>
          <w:sz w:val="24"/>
          <w:szCs w:val="24"/>
        </w:rPr>
      </w:pPr>
      <w:r w:rsidRPr="001E42FA">
        <w:rPr>
          <w:rFonts w:ascii="Times New Roman" w:hAnsi="Times New Roman" w:cs="Times New Roman"/>
          <w:b/>
          <w:sz w:val="24"/>
          <w:szCs w:val="24"/>
        </w:rPr>
        <w:lastRenderedPageBreak/>
        <w:t>Relationship between brain development and a</w:t>
      </w:r>
      <w:bookmarkStart w:id="0" w:name="_GoBack"/>
      <w:bookmarkEnd w:id="0"/>
      <w:r w:rsidRPr="001E42FA">
        <w:rPr>
          <w:rFonts w:ascii="Times New Roman" w:hAnsi="Times New Roman" w:cs="Times New Roman"/>
          <w:b/>
          <w:sz w:val="24"/>
          <w:szCs w:val="24"/>
        </w:rPr>
        <w:t>dolescent impulsivity</w:t>
      </w:r>
    </w:p>
    <w:p w:rsidR="008C05B8" w:rsidRPr="001E42FA" w:rsidRDefault="00C91110" w:rsidP="001E42FA">
      <w:pPr>
        <w:spacing w:line="480" w:lineRule="auto"/>
        <w:ind w:firstLine="720"/>
        <w:rPr>
          <w:rFonts w:ascii="Times New Roman" w:hAnsi="Times New Roman" w:cs="Times New Roman"/>
          <w:sz w:val="24"/>
          <w:szCs w:val="24"/>
        </w:rPr>
      </w:pPr>
      <w:r w:rsidRPr="001E42FA">
        <w:rPr>
          <w:rFonts w:ascii="Times New Roman" w:hAnsi="Times New Roman" w:cs="Times New Roman"/>
          <w:sz w:val="24"/>
          <w:szCs w:val="24"/>
        </w:rPr>
        <w:t xml:space="preserve">Differences at a personal level based on impulsivity impose a deal of being exposed to risks that are discovered during the adolescence stage. Some of the precarious forms of this way of performance are associated with attributes of </w:t>
      </w:r>
      <w:r w:rsidR="00134336" w:rsidRPr="001E42FA">
        <w:rPr>
          <w:rFonts w:ascii="Times New Roman" w:hAnsi="Times New Roman" w:cs="Times New Roman"/>
          <w:sz w:val="24"/>
          <w:szCs w:val="24"/>
        </w:rPr>
        <w:t xml:space="preserve">impulsivity. The impulsive traits are witnessed during the early stage of development. Nevertheless, interventions made at an </w:t>
      </w:r>
      <w:r w:rsidR="00075DF4" w:rsidRPr="001E42FA">
        <w:rPr>
          <w:rFonts w:ascii="Times New Roman" w:hAnsi="Times New Roman" w:cs="Times New Roman"/>
          <w:sz w:val="24"/>
          <w:szCs w:val="24"/>
        </w:rPr>
        <w:t>old age can reduce the austerity and concussion of the features mediating to regulate behavior as well as being persistence towards ensuring the valued goals are met.</w:t>
      </w:r>
      <w:r w:rsidR="00134336" w:rsidRPr="001E42FA">
        <w:rPr>
          <w:rFonts w:ascii="Times New Roman" w:hAnsi="Times New Roman" w:cs="Times New Roman"/>
          <w:sz w:val="24"/>
          <w:szCs w:val="24"/>
        </w:rPr>
        <w:t xml:space="preserve"> </w:t>
      </w:r>
      <w:r w:rsidR="00075DF4" w:rsidRPr="001E42FA">
        <w:rPr>
          <w:rFonts w:ascii="Times New Roman" w:hAnsi="Times New Roman" w:cs="Times New Roman"/>
          <w:sz w:val="24"/>
          <w:szCs w:val="24"/>
        </w:rPr>
        <w:t xml:space="preserve">Such purposes include academic qualification. Sensation seeking is one form of impulsivity that is efficaciously heightened </w:t>
      </w:r>
      <w:r w:rsidR="007D6AAE" w:rsidRPr="001E42FA">
        <w:rPr>
          <w:rFonts w:ascii="Times New Roman" w:hAnsi="Times New Roman" w:cs="Times New Roman"/>
          <w:sz w:val="24"/>
          <w:szCs w:val="24"/>
        </w:rPr>
        <w:t>at the stage of adolescence. The rise of impulsivity increases the chance of risks concerning healthy development</w:t>
      </w:r>
      <w:r w:rsidRPr="001E42FA">
        <w:rPr>
          <w:rFonts w:ascii="Times New Roman" w:hAnsi="Times New Roman" w:cs="Times New Roman"/>
          <w:sz w:val="24"/>
          <w:szCs w:val="24"/>
        </w:rPr>
        <w:t xml:space="preserve"> (</w:t>
      </w:r>
      <w:r w:rsidRPr="001E42FA">
        <w:rPr>
          <w:rFonts w:ascii="Times New Roman" w:hAnsi="Times New Roman" w:cs="Times New Roman"/>
          <w:color w:val="222222"/>
          <w:sz w:val="24"/>
          <w:szCs w:val="24"/>
          <w:shd w:val="clear" w:color="auto" w:fill="FFFFFF"/>
        </w:rPr>
        <w:t>Cos</w:t>
      </w:r>
      <w:r w:rsidRPr="001E42FA">
        <w:rPr>
          <w:rFonts w:ascii="Times New Roman" w:hAnsi="Times New Roman" w:cs="Times New Roman"/>
          <w:color w:val="222222"/>
          <w:sz w:val="24"/>
          <w:szCs w:val="24"/>
          <w:shd w:val="clear" w:color="auto" w:fill="FFFFFF"/>
        </w:rPr>
        <w:t xml:space="preserve">enza and Nigro, 2015). </w:t>
      </w:r>
      <w:r w:rsidR="00B00D6D" w:rsidRPr="001E42FA">
        <w:rPr>
          <w:rFonts w:ascii="Times New Roman" w:hAnsi="Times New Roman" w:cs="Times New Roman"/>
          <w:sz w:val="24"/>
          <w:szCs w:val="24"/>
        </w:rPr>
        <w:t xml:space="preserve">However, research has been conducted to reveal that the factors constraining the growth of a brain during adolescent hamper the competence to control impulsivity denotes that such kind of restrictions is sophisticated at their best. </w:t>
      </w:r>
      <w:r w:rsidR="00E84AFF" w:rsidRPr="001E42FA">
        <w:rPr>
          <w:rFonts w:ascii="Times New Roman" w:hAnsi="Times New Roman" w:cs="Times New Roman"/>
          <w:sz w:val="24"/>
          <w:szCs w:val="24"/>
        </w:rPr>
        <w:t xml:space="preserve">Instead, the researchers argue that imperfection with a novel </w:t>
      </w:r>
      <w:r w:rsidR="00435D19" w:rsidRPr="001E42FA">
        <w:rPr>
          <w:rFonts w:ascii="Times New Roman" w:hAnsi="Times New Roman" w:cs="Times New Roman"/>
          <w:sz w:val="24"/>
          <w:szCs w:val="24"/>
        </w:rPr>
        <w:t xml:space="preserve">about adult behavior </w:t>
      </w:r>
      <w:r w:rsidR="00E84AFF" w:rsidRPr="001E42FA">
        <w:rPr>
          <w:rFonts w:ascii="Times New Roman" w:hAnsi="Times New Roman" w:cs="Times New Roman"/>
          <w:sz w:val="24"/>
          <w:szCs w:val="24"/>
        </w:rPr>
        <w:t xml:space="preserve">is a contributing factor </w:t>
      </w:r>
      <w:r w:rsidR="00435D19" w:rsidRPr="001E42FA">
        <w:rPr>
          <w:rFonts w:ascii="Times New Roman" w:hAnsi="Times New Roman" w:cs="Times New Roman"/>
          <w:sz w:val="24"/>
          <w:szCs w:val="24"/>
        </w:rPr>
        <w:t>to exposure to risk adolescents compared to structural inadequacies to the maturation of the brain.</w:t>
      </w:r>
      <w:r w:rsidR="00FF0AF3" w:rsidRPr="001E42FA">
        <w:rPr>
          <w:rFonts w:ascii="Times New Roman" w:hAnsi="Times New Roman" w:cs="Times New Roman"/>
          <w:sz w:val="24"/>
          <w:szCs w:val="24"/>
        </w:rPr>
        <w:t xml:space="preserve"> </w:t>
      </w:r>
    </w:p>
    <w:p w:rsidR="00F00F4E" w:rsidRPr="001E42FA" w:rsidRDefault="00C91110" w:rsidP="001E42FA">
      <w:pPr>
        <w:spacing w:line="480" w:lineRule="auto"/>
        <w:ind w:firstLine="720"/>
        <w:rPr>
          <w:rFonts w:ascii="Times New Roman" w:hAnsi="Times New Roman" w:cs="Times New Roman"/>
          <w:sz w:val="24"/>
          <w:szCs w:val="24"/>
          <w:shd w:val="clear" w:color="auto" w:fill="FFFFFF"/>
        </w:rPr>
      </w:pPr>
      <w:r w:rsidRPr="001E42FA">
        <w:rPr>
          <w:rFonts w:ascii="Times New Roman" w:hAnsi="Times New Roman" w:cs="Times New Roman"/>
          <w:sz w:val="24"/>
          <w:szCs w:val="24"/>
        </w:rPr>
        <w:t>The specific part of the brain that indicates a</w:t>
      </w:r>
      <w:r w:rsidRPr="001E42FA">
        <w:rPr>
          <w:rFonts w:ascii="Times New Roman" w:hAnsi="Times New Roman" w:cs="Times New Roman"/>
          <w:sz w:val="24"/>
          <w:szCs w:val="24"/>
        </w:rPr>
        <w:t xml:space="preserve">dolescent behavior is the </w:t>
      </w:r>
      <w:r w:rsidRPr="001E42FA">
        <w:rPr>
          <w:rFonts w:ascii="Times New Roman" w:hAnsi="Times New Roman" w:cs="Times New Roman"/>
          <w:sz w:val="24"/>
          <w:szCs w:val="24"/>
          <w:shd w:val="clear" w:color="auto" w:fill="FFFFFF"/>
        </w:rPr>
        <w:t>amygdala. The region is accountable for paramount reactions that include response to fear as well as aggressive behavior.</w:t>
      </w:r>
      <w:r w:rsidR="001268CE" w:rsidRPr="001E42FA">
        <w:rPr>
          <w:rFonts w:ascii="Times New Roman" w:hAnsi="Times New Roman" w:cs="Times New Roman"/>
          <w:sz w:val="24"/>
          <w:szCs w:val="24"/>
          <w:shd w:val="clear" w:color="auto" w:fill="FFFFFF"/>
        </w:rPr>
        <w:t xml:space="preserve"> The effects witnessed as a result of aging adults of the brain, as well as cognition, is comprehensive, whereby the prefrontal cortex is the most affected part.</w:t>
      </w:r>
      <w:r w:rsidR="00B27DC8" w:rsidRPr="001E42FA">
        <w:rPr>
          <w:rFonts w:ascii="Times New Roman" w:hAnsi="Times New Roman" w:cs="Times New Roman"/>
          <w:sz w:val="24"/>
          <w:szCs w:val="24"/>
          <w:shd w:val="clear" w:color="auto" w:fill="FFFFFF"/>
        </w:rPr>
        <w:t xml:space="preserve"> The functional changes entitled to effects on the prefrontal cortex are a decline in memory, and activation of the brain becomes more reciprocal to tasks performed by memory.  </w:t>
      </w:r>
    </w:p>
    <w:p w:rsidR="00464DBC" w:rsidRPr="001E42FA" w:rsidRDefault="00C91110" w:rsidP="001E42FA">
      <w:pPr>
        <w:spacing w:line="480" w:lineRule="auto"/>
        <w:ind w:firstLine="720"/>
        <w:jc w:val="center"/>
        <w:rPr>
          <w:rFonts w:ascii="Times New Roman" w:hAnsi="Times New Roman" w:cs="Times New Roman"/>
          <w:b/>
          <w:sz w:val="24"/>
          <w:szCs w:val="24"/>
          <w:shd w:val="clear" w:color="auto" w:fill="FFFFFF"/>
        </w:rPr>
      </w:pPr>
      <w:r w:rsidRPr="001E42FA">
        <w:rPr>
          <w:rFonts w:ascii="Times New Roman" w:hAnsi="Times New Roman" w:cs="Times New Roman"/>
          <w:b/>
          <w:sz w:val="24"/>
          <w:szCs w:val="24"/>
          <w:shd w:val="clear" w:color="auto" w:fill="FFFFFF"/>
        </w:rPr>
        <w:t>Comparing the functions of</w:t>
      </w:r>
      <w:r w:rsidRPr="001E42FA">
        <w:rPr>
          <w:rFonts w:ascii="Times New Roman" w:hAnsi="Times New Roman" w:cs="Times New Roman"/>
          <w:b/>
          <w:sz w:val="24"/>
          <w:szCs w:val="24"/>
          <w:shd w:val="clear" w:color="auto" w:fill="FFFFFF"/>
        </w:rPr>
        <w:t xml:space="preserve"> four lobes of the cerebral cortex</w:t>
      </w:r>
    </w:p>
    <w:p w:rsidR="00B27DC8" w:rsidRPr="001E42FA" w:rsidRDefault="00C91110" w:rsidP="001E42FA">
      <w:pPr>
        <w:spacing w:line="480" w:lineRule="auto"/>
        <w:ind w:firstLine="720"/>
        <w:rPr>
          <w:rFonts w:ascii="Times New Roman" w:hAnsi="Times New Roman" w:cs="Times New Roman"/>
          <w:sz w:val="24"/>
          <w:szCs w:val="24"/>
          <w:shd w:val="clear" w:color="auto" w:fill="FFFFFF"/>
        </w:rPr>
      </w:pPr>
      <w:r w:rsidRPr="001E42FA">
        <w:rPr>
          <w:rFonts w:ascii="Times New Roman" w:hAnsi="Times New Roman" w:cs="Times New Roman"/>
          <w:sz w:val="24"/>
          <w:szCs w:val="24"/>
          <w:shd w:val="clear" w:color="auto" w:fill="FFFFFF"/>
        </w:rPr>
        <w:t xml:space="preserve">The frontal lobe controls voluntary movement or performance of any activity, </w:t>
      </w:r>
      <w:r w:rsidR="00464DBC" w:rsidRPr="001E42FA">
        <w:rPr>
          <w:rFonts w:ascii="Times New Roman" w:hAnsi="Times New Roman" w:cs="Times New Roman"/>
          <w:sz w:val="24"/>
          <w:szCs w:val="24"/>
          <w:shd w:val="clear" w:color="auto" w:fill="FFFFFF"/>
        </w:rPr>
        <w:t>and it’</w:t>
      </w:r>
      <w:r w:rsidRPr="001E42FA">
        <w:rPr>
          <w:rFonts w:ascii="Times New Roman" w:hAnsi="Times New Roman" w:cs="Times New Roman"/>
          <w:sz w:val="24"/>
          <w:szCs w:val="24"/>
          <w:shd w:val="clear" w:color="auto" w:fill="FFFFFF"/>
        </w:rPr>
        <w:t xml:space="preserve">s responsible for cognitive functions. The parietal lobe regulates information about taste, </w:t>
      </w:r>
      <w:r w:rsidRPr="001E42FA">
        <w:rPr>
          <w:rFonts w:ascii="Times New Roman" w:hAnsi="Times New Roman" w:cs="Times New Roman"/>
          <w:sz w:val="24"/>
          <w:szCs w:val="24"/>
          <w:shd w:val="clear" w:color="auto" w:fill="FFFFFF"/>
        </w:rPr>
        <w:t xml:space="preserve">flow, </w:t>
      </w:r>
      <w:r w:rsidRPr="001E42FA">
        <w:rPr>
          <w:rFonts w:ascii="Times New Roman" w:hAnsi="Times New Roman" w:cs="Times New Roman"/>
          <w:sz w:val="24"/>
          <w:szCs w:val="24"/>
          <w:shd w:val="clear" w:color="auto" w:fill="FFFFFF"/>
        </w:rPr>
        <w:lastRenderedPageBreak/>
        <w:t xml:space="preserve">touch, and temperature. The occipital lobe </w:t>
      </w:r>
      <w:r w:rsidR="00464DBC" w:rsidRPr="001E42FA">
        <w:rPr>
          <w:rFonts w:ascii="Times New Roman" w:hAnsi="Times New Roman" w:cs="Times New Roman"/>
          <w:sz w:val="24"/>
          <w:szCs w:val="24"/>
          <w:shd w:val="clear" w:color="auto" w:fill="FFFFFF"/>
        </w:rPr>
        <w:t>is controls vision, while the temporal lobe is primarily responsible for processing memories and assimilating them to sensations of sight, touch, and sound</w:t>
      </w:r>
      <w:r w:rsidR="00E47EAB" w:rsidRPr="001E42FA">
        <w:rPr>
          <w:rFonts w:ascii="Times New Roman" w:hAnsi="Times New Roman" w:cs="Times New Roman"/>
          <w:sz w:val="24"/>
          <w:szCs w:val="24"/>
          <w:shd w:val="clear" w:color="auto" w:fill="FFFFFF"/>
        </w:rPr>
        <w:t xml:space="preserve"> (</w:t>
      </w:r>
      <w:r w:rsidR="00E47EAB" w:rsidRPr="001E42FA">
        <w:rPr>
          <w:rFonts w:ascii="Times New Roman" w:hAnsi="Times New Roman" w:cs="Times New Roman"/>
          <w:color w:val="222222"/>
          <w:sz w:val="24"/>
          <w:szCs w:val="24"/>
          <w:shd w:val="clear" w:color="auto" w:fill="FFFFFF"/>
        </w:rPr>
        <w:t xml:space="preserve">Gelman and Marín, 2010). </w:t>
      </w:r>
    </w:p>
    <w:p w:rsidR="00246B63" w:rsidRPr="001E42FA" w:rsidRDefault="00C91110" w:rsidP="001E42FA">
      <w:pPr>
        <w:pStyle w:val="ListParagraph"/>
        <w:numPr>
          <w:ilvl w:val="0"/>
          <w:numId w:val="1"/>
        </w:numPr>
        <w:spacing w:line="480" w:lineRule="auto"/>
        <w:rPr>
          <w:rFonts w:ascii="Times New Roman" w:hAnsi="Times New Roman" w:cs="Times New Roman"/>
          <w:sz w:val="24"/>
          <w:szCs w:val="24"/>
        </w:rPr>
      </w:pPr>
      <w:r w:rsidRPr="001E42FA">
        <w:rPr>
          <w:rFonts w:ascii="Times New Roman" w:hAnsi="Times New Roman" w:cs="Times New Roman"/>
          <w:sz w:val="24"/>
          <w:szCs w:val="24"/>
        </w:rPr>
        <w:t xml:space="preserve">Effect of trauma in the </w:t>
      </w:r>
      <w:r w:rsidRPr="001E42FA">
        <w:rPr>
          <w:rFonts w:ascii="Times New Roman" w:hAnsi="Times New Roman" w:cs="Times New Roman"/>
          <w:sz w:val="24"/>
          <w:szCs w:val="24"/>
        </w:rPr>
        <w:t>parietal lobe; Damages caused to the parietal lobe can lead to Gerstmann's Syndrome. It leads to the right to left confusion, challenges in writing, and predicament in solving mathematics. More so, it can lead to the production of disorders of l</w:t>
      </w:r>
      <w:r w:rsidR="00B2771D" w:rsidRPr="001E42FA">
        <w:rPr>
          <w:rFonts w:ascii="Times New Roman" w:hAnsi="Times New Roman" w:cs="Times New Roman"/>
          <w:sz w:val="24"/>
          <w:szCs w:val="24"/>
        </w:rPr>
        <w:t xml:space="preserve">inguistics and incompetency to </w:t>
      </w:r>
      <w:r w:rsidR="00123A4D" w:rsidRPr="001E42FA">
        <w:rPr>
          <w:rFonts w:ascii="Times New Roman" w:hAnsi="Times New Roman" w:cs="Times New Roman"/>
          <w:sz w:val="24"/>
          <w:szCs w:val="24"/>
        </w:rPr>
        <w:t xml:space="preserve">discern objects in the </w:t>
      </w:r>
      <w:r w:rsidRPr="001E42FA">
        <w:rPr>
          <w:rFonts w:ascii="Times New Roman" w:hAnsi="Times New Roman" w:cs="Times New Roman"/>
          <w:sz w:val="24"/>
          <w:szCs w:val="24"/>
        </w:rPr>
        <w:t>usual way</w:t>
      </w:r>
      <w:r w:rsidR="00E47EAB" w:rsidRPr="001E42FA">
        <w:rPr>
          <w:rFonts w:ascii="Times New Roman" w:hAnsi="Times New Roman" w:cs="Times New Roman"/>
          <w:sz w:val="24"/>
          <w:szCs w:val="24"/>
        </w:rPr>
        <w:t xml:space="preserve"> (</w:t>
      </w:r>
      <w:r w:rsidR="00E47EAB" w:rsidRPr="001E42FA">
        <w:rPr>
          <w:rFonts w:ascii="Times New Roman" w:hAnsi="Times New Roman" w:cs="Times New Roman"/>
          <w:color w:val="222222"/>
          <w:sz w:val="24"/>
          <w:szCs w:val="24"/>
          <w:shd w:val="clear" w:color="auto" w:fill="FFFFFF"/>
        </w:rPr>
        <w:t>Kovacs et al., 2016).</w:t>
      </w:r>
      <w:r w:rsidR="00C859DB" w:rsidRPr="001E42FA">
        <w:rPr>
          <w:rFonts w:ascii="Times New Roman" w:hAnsi="Times New Roman" w:cs="Times New Roman"/>
          <w:color w:val="222222"/>
          <w:sz w:val="24"/>
          <w:szCs w:val="24"/>
          <w:shd w:val="clear" w:color="auto" w:fill="FFFFFF"/>
        </w:rPr>
        <w:t xml:space="preserve"> </w:t>
      </w:r>
    </w:p>
    <w:p w:rsidR="0064047D" w:rsidRPr="001E42FA" w:rsidRDefault="00C91110" w:rsidP="001E42FA">
      <w:pPr>
        <w:pStyle w:val="ListParagraph"/>
        <w:numPr>
          <w:ilvl w:val="0"/>
          <w:numId w:val="1"/>
        </w:numPr>
        <w:spacing w:line="480" w:lineRule="auto"/>
        <w:rPr>
          <w:rFonts w:ascii="Times New Roman" w:hAnsi="Times New Roman" w:cs="Times New Roman"/>
          <w:sz w:val="24"/>
          <w:szCs w:val="24"/>
        </w:rPr>
      </w:pPr>
      <w:r w:rsidRPr="001E42FA">
        <w:rPr>
          <w:rFonts w:ascii="Times New Roman" w:hAnsi="Times New Roman" w:cs="Times New Roman"/>
          <w:sz w:val="24"/>
          <w:szCs w:val="24"/>
        </w:rPr>
        <w:t xml:space="preserve">The effect of occipital lobe leads to </w:t>
      </w:r>
      <w:r w:rsidR="00B2771D" w:rsidRPr="001E42FA">
        <w:rPr>
          <w:rFonts w:ascii="Times New Roman" w:hAnsi="Times New Roman" w:cs="Times New Roman"/>
          <w:sz w:val="24"/>
          <w:szCs w:val="24"/>
        </w:rPr>
        <w:t xml:space="preserve">leads to partial or complete blindness, </w:t>
      </w:r>
      <w:r w:rsidR="00123A4D" w:rsidRPr="001E42FA">
        <w:rPr>
          <w:rFonts w:ascii="Times New Roman" w:hAnsi="Times New Roman" w:cs="Times New Roman"/>
          <w:sz w:val="24"/>
          <w:szCs w:val="24"/>
        </w:rPr>
        <w:t xml:space="preserve">or visual agnosia is dependent on the region and grimness </w:t>
      </w:r>
      <w:r w:rsidR="00943EA8" w:rsidRPr="001E42FA">
        <w:rPr>
          <w:rFonts w:ascii="Times New Roman" w:hAnsi="Times New Roman" w:cs="Times New Roman"/>
          <w:sz w:val="24"/>
          <w:szCs w:val="24"/>
        </w:rPr>
        <w:t xml:space="preserve">of damage. Vision initiate with spatial, temporal, and finally </w:t>
      </w:r>
      <w:r w:rsidR="00E76FED" w:rsidRPr="001E42FA">
        <w:rPr>
          <w:rFonts w:ascii="Times New Roman" w:hAnsi="Times New Roman" w:cs="Times New Roman"/>
          <w:sz w:val="24"/>
          <w:szCs w:val="24"/>
        </w:rPr>
        <w:t xml:space="preserve">chromatic components of lighting based on photoreceptors of the retina. </w:t>
      </w:r>
      <w:r w:rsidR="00C906DD" w:rsidRPr="001E42FA">
        <w:rPr>
          <w:rFonts w:ascii="Times New Roman" w:hAnsi="Times New Roman" w:cs="Times New Roman"/>
          <w:sz w:val="24"/>
          <w:szCs w:val="24"/>
        </w:rPr>
        <w:t>This cause ends in the cognation of the environment surrounding us</w:t>
      </w:r>
      <w:r w:rsidR="00D7373A" w:rsidRPr="001E42FA">
        <w:rPr>
          <w:rFonts w:ascii="Times New Roman" w:hAnsi="Times New Roman" w:cs="Times New Roman"/>
          <w:sz w:val="24"/>
          <w:szCs w:val="24"/>
        </w:rPr>
        <w:t xml:space="preserve"> (</w:t>
      </w:r>
      <w:r w:rsidR="00D7373A" w:rsidRPr="001E42FA">
        <w:rPr>
          <w:rFonts w:ascii="Times New Roman" w:hAnsi="Times New Roman" w:cs="Times New Roman"/>
          <w:color w:val="222222"/>
          <w:sz w:val="24"/>
          <w:szCs w:val="24"/>
          <w:shd w:val="clear" w:color="auto" w:fill="FFFFFF"/>
        </w:rPr>
        <w:t xml:space="preserve">Johnson et al., 2015). </w:t>
      </w:r>
    </w:p>
    <w:p w:rsidR="00C906DD" w:rsidRPr="001E42FA" w:rsidRDefault="00C91110" w:rsidP="001E42FA">
      <w:pPr>
        <w:spacing w:line="480" w:lineRule="auto"/>
        <w:ind w:left="720"/>
        <w:jc w:val="center"/>
        <w:rPr>
          <w:rFonts w:ascii="Times New Roman" w:hAnsi="Times New Roman" w:cs="Times New Roman"/>
          <w:b/>
          <w:sz w:val="24"/>
          <w:szCs w:val="24"/>
        </w:rPr>
      </w:pPr>
      <w:r w:rsidRPr="001E42FA">
        <w:rPr>
          <w:rFonts w:ascii="Times New Roman" w:hAnsi="Times New Roman" w:cs="Times New Roman"/>
          <w:b/>
          <w:sz w:val="24"/>
          <w:szCs w:val="24"/>
        </w:rPr>
        <w:t xml:space="preserve">The hierarch of the Nervous </w:t>
      </w:r>
      <w:r w:rsidRPr="001E42FA">
        <w:rPr>
          <w:rFonts w:ascii="Times New Roman" w:hAnsi="Times New Roman" w:cs="Times New Roman"/>
          <w:b/>
          <w:sz w:val="24"/>
          <w:szCs w:val="24"/>
        </w:rPr>
        <w:t>System</w:t>
      </w:r>
    </w:p>
    <w:p w:rsidR="00C906DD" w:rsidRPr="001E42FA" w:rsidRDefault="00C91110" w:rsidP="001E42FA">
      <w:pPr>
        <w:spacing w:line="480" w:lineRule="auto"/>
        <w:rPr>
          <w:rFonts w:ascii="Times New Roman" w:hAnsi="Times New Roman" w:cs="Times New Roman"/>
          <w:sz w:val="24"/>
          <w:szCs w:val="24"/>
        </w:rPr>
      </w:pPr>
      <w:r w:rsidRPr="001E42FA">
        <w:rPr>
          <w:rFonts w:ascii="Times New Roman" w:hAnsi="Times New Roman" w:cs="Times New Roman"/>
          <w:noProof/>
          <w:sz w:val="24"/>
          <w:szCs w:val="24"/>
          <w:lang w:eastAsia="en-GB"/>
        </w:rPr>
        <w:drawing>
          <wp:inline distT="0" distB="0" distL="0" distR="0">
            <wp:extent cx="4063365" cy="2543175"/>
            <wp:effectExtent l="0" t="0" r="0" b="9525"/>
            <wp:docPr id="1" name="Picture 1" descr="Image result for hierarchy of nervou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90866" name="Picture 1" descr="Image result for hierarchy of nervous system"/>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090871" cy="2560390"/>
                    </a:xfrm>
                    <a:prstGeom prst="rect">
                      <a:avLst/>
                    </a:prstGeom>
                    <a:noFill/>
                    <a:ln>
                      <a:noFill/>
                    </a:ln>
                  </pic:spPr>
                </pic:pic>
              </a:graphicData>
            </a:graphic>
          </wp:inline>
        </w:drawing>
      </w:r>
    </w:p>
    <w:p w:rsidR="00285850" w:rsidRDefault="00285850" w:rsidP="001E42FA">
      <w:pPr>
        <w:spacing w:line="480" w:lineRule="auto"/>
        <w:jc w:val="center"/>
        <w:rPr>
          <w:rFonts w:ascii="Times New Roman" w:hAnsi="Times New Roman" w:cs="Times New Roman"/>
          <w:b/>
          <w:sz w:val="24"/>
          <w:szCs w:val="24"/>
        </w:rPr>
      </w:pPr>
    </w:p>
    <w:p w:rsidR="00285850" w:rsidRDefault="00285850" w:rsidP="001E42FA">
      <w:pPr>
        <w:spacing w:line="480" w:lineRule="auto"/>
        <w:jc w:val="center"/>
        <w:rPr>
          <w:rFonts w:ascii="Times New Roman" w:hAnsi="Times New Roman" w:cs="Times New Roman"/>
          <w:b/>
          <w:sz w:val="24"/>
          <w:szCs w:val="24"/>
        </w:rPr>
      </w:pPr>
    </w:p>
    <w:p w:rsidR="0064047D" w:rsidRPr="001E42FA" w:rsidRDefault="00C91110" w:rsidP="001E42FA">
      <w:pPr>
        <w:spacing w:line="480" w:lineRule="auto"/>
        <w:jc w:val="center"/>
        <w:rPr>
          <w:rFonts w:ascii="Times New Roman" w:hAnsi="Times New Roman" w:cs="Times New Roman"/>
          <w:b/>
          <w:sz w:val="24"/>
          <w:szCs w:val="24"/>
        </w:rPr>
      </w:pPr>
      <w:r w:rsidRPr="001E42FA">
        <w:rPr>
          <w:rFonts w:ascii="Times New Roman" w:hAnsi="Times New Roman" w:cs="Times New Roman"/>
          <w:b/>
          <w:sz w:val="24"/>
          <w:szCs w:val="24"/>
        </w:rPr>
        <w:lastRenderedPageBreak/>
        <w:t>Functions of the sympathetic</w:t>
      </w:r>
      <w:r w:rsidR="00DA2A27" w:rsidRPr="001E42FA">
        <w:rPr>
          <w:rFonts w:ascii="Times New Roman" w:hAnsi="Times New Roman" w:cs="Times New Roman"/>
          <w:b/>
          <w:sz w:val="24"/>
          <w:szCs w:val="24"/>
        </w:rPr>
        <w:t xml:space="preserve"> and parasympathetic</w:t>
      </w:r>
      <w:r w:rsidRPr="001E42FA">
        <w:rPr>
          <w:rFonts w:ascii="Times New Roman" w:hAnsi="Times New Roman" w:cs="Times New Roman"/>
          <w:b/>
          <w:sz w:val="24"/>
          <w:szCs w:val="24"/>
        </w:rPr>
        <w:t xml:space="preserve"> nervous system </w:t>
      </w:r>
    </w:p>
    <w:p w:rsidR="00DA2A27" w:rsidRPr="001E42FA" w:rsidRDefault="00C91110" w:rsidP="001E42FA">
      <w:pPr>
        <w:spacing w:line="480" w:lineRule="auto"/>
        <w:ind w:firstLine="720"/>
        <w:rPr>
          <w:rFonts w:ascii="Times New Roman" w:hAnsi="Times New Roman" w:cs="Times New Roman"/>
          <w:sz w:val="24"/>
          <w:szCs w:val="24"/>
        </w:rPr>
      </w:pPr>
      <w:r w:rsidRPr="001E42FA">
        <w:rPr>
          <w:rFonts w:ascii="Times New Roman" w:hAnsi="Times New Roman" w:cs="Times New Roman"/>
          <w:sz w:val="24"/>
          <w:szCs w:val="24"/>
        </w:rPr>
        <w:t>The sympathetic nervous system forms the central division of the parasympathetic and auto</w:t>
      </w:r>
      <w:r w:rsidR="001235E7" w:rsidRPr="001E42FA">
        <w:rPr>
          <w:rFonts w:ascii="Times New Roman" w:hAnsi="Times New Roman" w:cs="Times New Roman"/>
          <w:sz w:val="24"/>
          <w:szCs w:val="24"/>
        </w:rPr>
        <w:t>no</w:t>
      </w:r>
      <w:r w:rsidRPr="001E42FA">
        <w:rPr>
          <w:rFonts w:ascii="Times New Roman" w:hAnsi="Times New Roman" w:cs="Times New Roman"/>
          <w:sz w:val="24"/>
          <w:szCs w:val="24"/>
        </w:rPr>
        <w:t>mic nervous system. It prompts the response of a body towards fight and flight or stimulati</w:t>
      </w:r>
      <w:r w:rsidRPr="001E42FA">
        <w:rPr>
          <w:rFonts w:ascii="Times New Roman" w:hAnsi="Times New Roman" w:cs="Times New Roman"/>
          <w:sz w:val="24"/>
          <w:szCs w:val="24"/>
        </w:rPr>
        <w:t>on of freeze response. It can be responsible for triggering the heart rate and decreasing the rate at which large intestines move. More so, it can broaden bronchial passages, causing dilation of the pupil, increasing peristalsis located in the esophagus</w:t>
      </w:r>
      <w:r w:rsidR="0022214B" w:rsidRPr="001E42FA">
        <w:rPr>
          <w:rFonts w:ascii="Times New Roman" w:hAnsi="Times New Roman" w:cs="Times New Roman"/>
          <w:sz w:val="24"/>
          <w:szCs w:val="24"/>
        </w:rPr>
        <w:t xml:space="preserve"> (</w:t>
      </w:r>
      <w:r w:rsidR="0022214B" w:rsidRPr="001E42FA">
        <w:rPr>
          <w:rFonts w:ascii="Times New Roman" w:hAnsi="Times New Roman" w:cs="Times New Roman"/>
          <w:color w:val="222222"/>
          <w:sz w:val="24"/>
          <w:szCs w:val="24"/>
          <w:shd w:val="clear" w:color="auto" w:fill="FFFFFF"/>
        </w:rPr>
        <w:t xml:space="preserve">Cole, Nagaraja, Lutgendorf, Green, and Sood, 2015). </w:t>
      </w:r>
      <w:r w:rsidRPr="001E42FA">
        <w:rPr>
          <w:rFonts w:ascii="Times New Roman" w:hAnsi="Times New Roman" w:cs="Times New Roman"/>
          <w:sz w:val="24"/>
          <w:szCs w:val="24"/>
        </w:rPr>
        <w:t>The parasympathetic system stimulates digestion while the bod</w:t>
      </w:r>
      <w:r w:rsidR="00E47EAB" w:rsidRPr="001E42FA">
        <w:rPr>
          <w:rFonts w:ascii="Times New Roman" w:hAnsi="Times New Roman" w:cs="Times New Roman"/>
          <w:sz w:val="24"/>
          <w:szCs w:val="24"/>
        </w:rPr>
        <w:t xml:space="preserve">y is at rest or stimulation </w:t>
      </w:r>
      <w:r w:rsidRPr="001E42FA">
        <w:rPr>
          <w:rFonts w:ascii="Times New Roman" w:hAnsi="Times New Roman" w:cs="Times New Roman"/>
          <w:sz w:val="24"/>
          <w:szCs w:val="24"/>
        </w:rPr>
        <w:t>of feed and breed. Additionally, it controls the activities that transpire when the body is at rest</w:t>
      </w:r>
      <w:r w:rsidR="0022214B" w:rsidRPr="001E42FA">
        <w:rPr>
          <w:rFonts w:ascii="Times New Roman" w:hAnsi="Times New Roman" w:cs="Times New Roman"/>
          <w:sz w:val="24"/>
          <w:szCs w:val="24"/>
        </w:rPr>
        <w:t xml:space="preserve"> (</w:t>
      </w:r>
      <w:r w:rsidR="0022214B" w:rsidRPr="001E42FA">
        <w:rPr>
          <w:rFonts w:ascii="Times New Roman" w:hAnsi="Times New Roman" w:cs="Times New Roman"/>
          <w:color w:val="222222"/>
          <w:sz w:val="24"/>
          <w:szCs w:val="24"/>
          <w:shd w:val="clear" w:color="auto" w:fill="FFFFFF"/>
        </w:rPr>
        <w:t xml:space="preserve">Forsythe, 2015). </w:t>
      </w:r>
      <w:r w:rsidRPr="001E42FA">
        <w:rPr>
          <w:rFonts w:ascii="Times New Roman" w:hAnsi="Times New Roman" w:cs="Times New Roman"/>
          <w:sz w:val="24"/>
          <w:szCs w:val="24"/>
        </w:rPr>
        <w:t xml:space="preserve">The activities include salivation, eating, urination, and digestion. </w:t>
      </w: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8C05B8" w:rsidRPr="001E42FA" w:rsidRDefault="008C05B8" w:rsidP="001E42FA">
      <w:pPr>
        <w:spacing w:line="480" w:lineRule="auto"/>
        <w:ind w:firstLine="720"/>
        <w:rPr>
          <w:rFonts w:ascii="Times New Roman" w:hAnsi="Times New Roman" w:cs="Times New Roman"/>
          <w:sz w:val="24"/>
          <w:szCs w:val="24"/>
        </w:rPr>
      </w:pPr>
    </w:p>
    <w:p w:rsidR="00E47EAB" w:rsidRDefault="00E47EAB" w:rsidP="001E42FA">
      <w:pPr>
        <w:spacing w:line="480" w:lineRule="auto"/>
        <w:rPr>
          <w:rFonts w:ascii="Times New Roman" w:hAnsi="Times New Roman" w:cs="Times New Roman"/>
          <w:sz w:val="24"/>
          <w:szCs w:val="24"/>
        </w:rPr>
      </w:pPr>
    </w:p>
    <w:p w:rsidR="00285850" w:rsidRPr="001E42FA" w:rsidRDefault="00285850" w:rsidP="001E42FA">
      <w:pPr>
        <w:spacing w:line="480" w:lineRule="auto"/>
        <w:rPr>
          <w:rFonts w:ascii="Times New Roman" w:hAnsi="Times New Roman" w:cs="Times New Roman"/>
          <w:sz w:val="24"/>
          <w:szCs w:val="24"/>
        </w:rPr>
      </w:pPr>
    </w:p>
    <w:p w:rsidR="008C05B8" w:rsidRPr="001E42FA" w:rsidRDefault="00C91110" w:rsidP="001E42FA">
      <w:pPr>
        <w:spacing w:line="480" w:lineRule="auto"/>
        <w:ind w:firstLine="720"/>
        <w:jc w:val="center"/>
        <w:rPr>
          <w:rFonts w:ascii="Times New Roman" w:hAnsi="Times New Roman" w:cs="Times New Roman"/>
          <w:sz w:val="24"/>
          <w:szCs w:val="24"/>
        </w:rPr>
      </w:pPr>
      <w:r w:rsidRPr="001E42FA">
        <w:rPr>
          <w:rFonts w:ascii="Times New Roman" w:hAnsi="Times New Roman" w:cs="Times New Roman"/>
          <w:sz w:val="24"/>
          <w:szCs w:val="24"/>
        </w:rPr>
        <w:lastRenderedPageBreak/>
        <w:t>References</w:t>
      </w:r>
    </w:p>
    <w:p w:rsidR="00353D92" w:rsidRDefault="00C91110" w:rsidP="00353D92">
      <w:pPr>
        <w:spacing w:line="480" w:lineRule="auto"/>
        <w:ind w:left="720" w:hanging="720"/>
        <w:rPr>
          <w:rFonts w:ascii="Times New Roman" w:hAnsi="Times New Roman" w:cs="Times New Roman"/>
          <w:color w:val="222222"/>
          <w:sz w:val="24"/>
          <w:szCs w:val="24"/>
          <w:shd w:val="clear" w:color="auto" w:fill="FFFFFF"/>
        </w:rPr>
      </w:pPr>
      <w:r w:rsidRPr="001E42FA">
        <w:rPr>
          <w:rFonts w:ascii="Times New Roman" w:hAnsi="Times New Roman" w:cs="Times New Roman"/>
          <w:color w:val="222222"/>
          <w:sz w:val="24"/>
          <w:szCs w:val="24"/>
          <w:shd w:val="clear" w:color="auto" w:fill="FFFFFF"/>
        </w:rPr>
        <w:t xml:space="preserve">Cole, S. W., Nagaraja, A. S., Lutgendorf, S. K., Green, P. A., &amp; Sood, A. K. (2015). Sympathetic nervous system regulation of the tumor microenvironment. </w:t>
      </w:r>
      <w:r w:rsidRPr="001E42FA">
        <w:rPr>
          <w:rFonts w:ascii="Times New Roman" w:hAnsi="Times New Roman" w:cs="Times New Roman"/>
          <w:i/>
          <w:iCs/>
          <w:color w:val="222222"/>
          <w:sz w:val="24"/>
          <w:szCs w:val="24"/>
          <w:shd w:val="clear" w:color="auto" w:fill="FFFFFF"/>
        </w:rPr>
        <w:t>Nature Reviews Cancer</w:t>
      </w:r>
      <w:r w:rsidRPr="001E42FA">
        <w:rPr>
          <w:rFonts w:ascii="Times New Roman" w:hAnsi="Times New Roman" w:cs="Times New Roman"/>
          <w:color w:val="222222"/>
          <w:sz w:val="24"/>
          <w:szCs w:val="24"/>
          <w:shd w:val="clear" w:color="auto" w:fill="FFFFFF"/>
        </w:rPr>
        <w:t>, </w:t>
      </w:r>
      <w:r w:rsidRPr="001E42FA">
        <w:rPr>
          <w:rFonts w:ascii="Times New Roman" w:hAnsi="Times New Roman" w:cs="Times New Roman"/>
          <w:i/>
          <w:iCs/>
          <w:color w:val="222222"/>
          <w:sz w:val="24"/>
          <w:szCs w:val="24"/>
          <w:shd w:val="clear" w:color="auto" w:fill="FFFFFF"/>
        </w:rPr>
        <w:t>15</w:t>
      </w:r>
      <w:r w:rsidRPr="001E42FA">
        <w:rPr>
          <w:rFonts w:ascii="Times New Roman" w:hAnsi="Times New Roman" w:cs="Times New Roman"/>
          <w:color w:val="222222"/>
          <w:sz w:val="24"/>
          <w:szCs w:val="24"/>
          <w:shd w:val="clear" w:color="auto" w:fill="FFFFFF"/>
        </w:rPr>
        <w:t>(9), 563-572.</w:t>
      </w:r>
    </w:p>
    <w:p w:rsidR="00353D92" w:rsidRPr="001E42FA" w:rsidRDefault="00C91110" w:rsidP="00353D92">
      <w:pPr>
        <w:spacing w:line="480" w:lineRule="auto"/>
        <w:ind w:left="720" w:hanging="720"/>
        <w:rPr>
          <w:rFonts w:ascii="Times New Roman" w:hAnsi="Times New Roman" w:cs="Times New Roman"/>
          <w:color w:val="222222"/>
          <w:sz w:val="24"/>
          <w:szCs w:val="24"/>
          <w:shd w:val="clear" w:color="auto" w:fill="FFFFFF"/>
        </w:rPr>
      </w:pPr>
      <w:r w:rsidRPr="001E42FA">
        <w:rPr>
          <w:rFonts w:ascii="Times New Roman" w:hAnsi="Times New Roman" w:cs="Times New Roman"/>
          <w:color w:val="222222"/>
          <w:sz w:val="24"/>
          <w:szCs w:val="24"/>
          <w:shd w:val="clear" w:color="auto" w:fill="FFFFFF"/>
        </w:rPr>
        <w:t>Cosenza, M., &amp; Nigro, G. (2015). Wagering the future: Cognitive distortions, impulsivity, delay discounting, and time perspective in adolescent gambling. </w:t>
      </w:r>
      <w:r w:rsidRPr="001E42FA">
        <w:rPr>
          <w:rFonts w:ascii="Times New Roman" w:hAnsi="Times New Roman" w:cs="Times New Roman"/>
          <w:i/>
          <w:iCs/>
          <w:color w:val="222222"/>
          <w:sz w:val="24"/>
          <w:szCs w:val="24"/>
          <w:shd w:val="clear" w:color="auto" w:fill="FFFFFF"/>
        </w:rPr>
        <w:t>Journal of Adolescence</w:t>
      </w:r>
      <w:r w:rsidRPr="001E42FA">
        <w:rPr>
          <w:rFonts w:ascii="Times New Roman" w:hAnsi="Times New Roman" w:cs="Times New Roman"/>
          <w:color w:val="222222"/>
          <w:sz w:val="24"/>
          <w:szCs w:val="24"/>
          <w:shd w:val="clear" w:color="auto" w:fill="FFFFFF"/>
        </w:rPr>
        <w:t>, </w:t>
      </w:r>
      <w:r w:rsidRPr="001E42FA">
        <w:rPr>
          <w:rFonts w:ascii="Times New Roman" w:hAnsi="Times New Roman" w:cs="Times New Roman"/>
          <w:i/>
          <w:iCs/>
          <w:color w:val="222222"/>
          <w:sz w:val="24"/>
          <w:szCs w:val="24"/>
          <w:shd w:val="clear" w:color="auto" w:fill="FFFFFF"/>
        </w:rPr>
        <w:t>45</w:t>
      </w:r>
      <w:r w:rsidRPr="001E42FA">
        <w:rPr>
          <w:rFonts w:ascii="Times New Roman" w:hAnsi="Times New Roman" w:cs="Times New Roman"/>
          <w:color w:val="222222"/>
          <w:sz w:val="24"/>
          <w:szCs w:val="24"/>
          <w:shd w:val="clear" w:color="auto" w:fill="FFFFFF"/>
        </w:rPr>
        <w:t>, 56-66.</w:t>
      </w:r>
    </w:p>
    <w:p w:rsidR="00353D92" w:rsidRPr="00353D92" w:rsidRDefault="00C91110" w:rsidP="00353D92">
      <w:pPr>
        <w:spacing w:line="480" w:lineRule="auto"/>
        <w:ind w:left="720" w:hanging="720"/>
        <w:rPr>
          <w:rFonts w:ascii="Times New Roman" w:hAnsi="Times New Roman" w:cs="Times New Roman"/>
          <w:sz w:val="24"/>
          <w:szCs w:val="24"/>
        </w:rPr>
      </w:pPr>
      <w:r w:rsidRPr="001E42FA">
        <w:rPr>
          <w:rFonts w:ascii="Times New Roman" w:hAnsi="Times New Roman" w:cs="Times New Roman"/>
          <w:color w:val="222222"/>
          <w:sz w:val="24"/>
          <w:szCs w:val="24"/>
          <w:shd w:val="clear" w:color="auto" w:fill="FFFFFF"/>
        </w:rPr>
        <w:t xml:space="preserve">Forsythe, P. (2015). The </w:t>
      </w:r>
      <w:r w:rsidRPr="001E42FA">
        <w:rPr>
          <w:rFonts w:ascii="Times New Roman" w:hAnsi="Times New Roman" w:cs="Times New Roman"/>
          <w:color w:val="222222"/>
          <w:sz w:val="24"/>
          <w:szCs w:val="24"/>
          <w:shd w:val="clear" w:color="auto" w:fill="FFFFFF"/>
        </w:rPr>
        <w:t>parasympathetic nervous system as a regulator of mast cell function. In </w:t>
      </w:r>
      <w:r w:rsidRPr="001E42FA">
        <w:rPr>
          <w:rFonts w:ascii="Times New Roman" w:hAnsi="Times New Roman" w:cs="Times New Roman"/>
          <w:i/>
          <w:iCs/>
          <w:color w:val="222222"/>
          <w:sz w:val="24"/>
          <w:szCs w:val="24"/>
          <w:shd w:val="clear" w:color="auto" w:fill="FFFFFF"/>
        </w:rPr>
        <w:t>Mast Cells</w:t>
      </w:r>
      <w:r w:rsidRPr="001E42FA">
        <w:rPr>
          <w:rFonts w:ascii="Times New Roman" w:hAnsi="Times New Roman" w:cs="Times New Roman"/>
          <w:color w:val="222222"/>
          <w:sz w:val="24"/>
          <w:szCs w:val="24"/>
          <w:shd w:val="clear" w:color="auto" w:fill="FFFFFF"/>
        </w:rPr>
        <w:t> (pp. 141-154). Humana Press, New York, NY.</w:t>
      </w:r>
    </w:p>
    <w:p w:rsidR="00E47EAB" w:rsidRPr="001E42FA" w:rsidRDefault="00C91110" w:rsidP="00353D92">
      <w:pPr>
        <w:spacing w:line="480" w:lineRule="auto"/>
        <w:ind w:left="720" w:hanging="720"/>
        <w:rPr>
          <w:rFonts w:ascii="Times New Roman" w:hAnsi="Times New Roman" w:cs="Times New Roman"/>
          <w:color w:val="222222"/>
          <w:sz w:val="24"/>
          <w:szCs w:val="24"/>
          <w:shd w:val="clear" w:color="auto" w:fill="FFFFFF"/>
        </w:rPr>
      </w:pPr>
      <w:r w:rsidRPr="001E42FA">
        <w:rPr>
          <w:rFonts w:ascii="Times New Roman" w:hAnsi="Times New Roman" w:cs="Times New Roman"/>
          <w:color w:val="222222"/>
          <w:sz w:val="24"/>
          <w:szCs w:val="24"/>
          <w:shd w:val="clear" w:color="auto" w:fill="FFFFFF"/>
        </w:rPr>
        <w:t>Gelman, D. M., &amp; Marín, O. (2010). Generation of interneuron diversity in the mouse cerebral cortex. </w:t>
      </w:r>
      <w:r w:rsidRPr="001E42FA">
        <w:rPr>
          <w:rFonts w:ascii="Times New Roman" w:hAnsi="Times New Roman" w:cs="Times New Roman"/>
          <w:i/>
          <w:iCs/>
          <w:color w:val="222222"/>
          <w:sz w:val="24"/>
          <w:szCs w:val="24"/>
          <w:shd w:val="clear" w:color="auto" w:fill="FFFFFF"/>
        </w:rPr>
        <w:t>European Journal of Neuroscie</w:t>
      </w:r>
      <w:r w:rsidRPr="001E42FA">
        <w:rPr>
          <w:rFonts w:ascii="Times New Roman" w:hAnsi="Times New Roman" w:cs="Times New Roman"/>
          <w:i/>
          <w:iCs/>
          <w:color w:val="222222"/>
          <w:sz w:val="24"/>
          <w:szCs w:val="24"/>
          <w:shd w:val="clear" w:color="auto" w:fill="FFFFFF"/>
        </w:rPr>
        <w:t>nce</w:t>
      </w:r>
      <w:r w:rsidRPr="001E42FA">
        <w:rPr>
          <w:rFonts w:ascii="Times New Roman" w:hAnsi="Times New Roman" w:cs="Times New Roman"/>
          <w:color w:val="222222"/>
          <w:sz w:val="24"/>
          <w:szCs w:val="24"/>
          <w:shd w:val="clear" w:color="auto" w:fill="FFFFFF"/>
        </w:rPr>
        <w:t>, </w:t>
      </w:r>
      <w:r w:rsidRPr="001E42FA">
        <w:rPr>
          <w:rFonts w:ascii="Times New Roman" w:hAnsi="Times New Roman" w:cs="Times New Roman"/>
          <w:i/>
          <w:iCs/>
          <w:color w:val="222222"/>
          <w:sz w:val="24"/>
          <w:szCs w:val="24"/>
          <w:shd w:val="clear" w:color="auto" w:fill="FFFFFF"/>
        </w:rPr>
        <w:t>31</w:t>
      </w:r>
      <w:r w:rsidRPr="001E42FA">
        <w:rPr>
          <w:rFonts w:ascii="Times New Roman" w:hAnsi="Times New Roman" w:cs="Times New Roman"/>
          <w:color w:val="222222"/>
          <w:sz w:val="24"/>
          <w:szCs w:val="24"/>
          <w:shd w:val="clear" w:color="auto" w:fill="FFFFFF"/>
        </w:rPr>
        <w:t>(12), 2136-2141.</w:t>
      </w:r>
    </w:p>
    <w:p w:rsidR="00E47EAB" w:rsidRPr="001E42FA" w:rsidRDefault="00C91110" w:rsidP="00353D92">
      <w:pPr>
        <w:spacing w:line="480" w:lineRule="auto"/>
        <w:ind w:left="720" w:hanging="720"/>
        <w:rPr>
          <w:rFonts w:ascii="Times New Roman" w:hAnsi="Times New Roman" w:cs="Times New Roman"/>
          <w:color w:val="222222"/>
          <w:sz w:val="24"/>
          <w:szCs w:val="24"/>
          <w:shd w:val="clear" w:color="auto" w:fill="FFFFFF"/>
        </w:rPr>
      </w:pPr>
      <w:r w:rsidRPr="001E42FA">
        <w:rPr>
          <w:rFonts w:ascii="Times New Roman" w:hAnsi="Times New Roman" w:cs="Times New Roman"/>
          <w:color w:val="222222"/>
          <w:sz w:val="24"/>
          <w:szCs w:val="24"/>
          <w:shd w:val="clear" w:color="auto" w:fill="FFFFFF"/>
        </w:rPr>
        <w:t xml:space="preserve">Johnson, E. B., Rees, E. M., Labuschagne, I., Durr, A., Leavitt, B. R., Roos, R. A., ... &amp; Stout, J. C. (2015). The impact of occipital lobe cortical thickness on cognitive task performance: An investigation in Huntington's </w:t>
      </w:r>
      <w:r w:rsidR="00353D92" w:rsidRPr="001E42FA">
        <w:rPr>
          <w:rFonts w:ascii="Times New Roman" w:hAnsi="Times New Roman" w:cs="Times New Roman"/>
          <w:color w:val="222222"/>
          <w:sz w:val="24"/>
          <w:szCs w:val="24"/>
          <w:shd w:val="clear" w:color="auto" w:fill="FFFFFF"/>
        </w:rPr>
        <w:t>disease</w:t>
      </w:r>
      <w:r w:rsidRPr="001E42FA">
        <w:rPr>
          <w:rFonts w:ascii="Times New Roman" w:hAnsi="Times New Roman" w:cs="Times New Roman"/>
          <w:color w:val="222222"/>
          <w:sz w:val="24"/>
          <w:szCs w:val="24"/>
          <w:shd w:val="clear" w:color="auto" w:fill="FFFFFF"/>
        </w:rPr>
        <w:t>.</w:t>
      </w:r>
      <w:r w:rsidRPr="001E42FA">
        <w:rPr>
          <w:rFonts w:ascii="Times New Roman" w:hAnsi="Times New Roman" w:cs="Times New Roman"/>
          <w:color w:val="222222"/>
          <w:sz w:val="24"/>
          <w:szCs w:val="24"/>
          <w:shd w:val="clear" w:color="auto" w:fill="FFFFFF"/>
        </w:rPr>
        <w:t> </w:t>
      </w:r>
      <w:r w:rsidR="00353D92" w:rsidRPr="001E42FA">
        <w:rPr>
          <w:rFonts w:ascii="Times New Roman" w:hAnsi="Times New Roman" w:cs="Times New Roman"/>
          <w:i/>
          <w:iCs/>
          <w:color w:val="222222"/>
          <w:sz w:val="24"/>
          <w:szCs w:val="24"/>
          <w:shd w:val="clear" w:color="auto" w:fill="FFFFFF"/>
        </w:rPr>
        <w:t>Neuropsychological</w:t>
      </w:r>
      <w:r w:rsidRPr="001E42FA">
        <w:rPr>
          <w:rFonts w:ascii="Times New Roman" w:hAnsi="Times New Roman" w:cs="Times New Roman"/>
          <w:color w:val="222222"/>
          <w:sz w:val="24"/>
          <w:szCs w:val="24"/>
          <w:shd w:val="clear" w:color="auto" w:fill="FFFFFF"/>
        </w:rPr>
        <w:t>, </w:t>
      </w:r>
      <w:r w:rsidRPr="001E42FA">
        <w:rPr>
          <w:rFonts w:ascii="Times New Roman" w:hAnsi="Times New Roman" w:cs="Times New Roman"/>
          <w:i/>
          <w:iCs/>
          <w:color w:val="222222"/>
          <w:sz w:val="24"/>
          <w:szCs w:val="24"/>
          <w:shd w:val="clear" w:color="auto" w:fill="FFFFFF"/>
        </w:rPr>
        <w:t>79</w:t>
      </w:r>
      <w:r w:rsidRPr="001E42FA">
        <w:rPr>
          <w:rFonts w:ascii="Times New Roman" w:hAnsi="Times New Roman" w:cs="Times New Roman"/>
          <w:color w:val="222222"/>
          <w:sz w:val="24"/>
          <w:szCs w:val="24"/>
          <w:shd w:val="clear" w:color="auto" w:fill="FFFFFF"/>
        </w:rPr>
        <w:t>, 138-146.</w:t>
      </w:r>
    </w:p>
    <w:p w:rsidR="00E47EAB" w:rsidRPr="001E42FA" w:rsidRDefault="00C91110" w:rsidP="00353D92">
      <w:pPr>
        <w:spacing w:line="480" w:lineRule="auto"/>
        <w:ind w:left="720" w:hanging="720"/>
        <w:rPr>
          <w:rFonts w:ascii="Times New Roman" w:hAnsi="Times New Roman" w:cs="Times New Roman"/>
          <w:color w:val="222222"/>
          <w:sz w:val="24"/>
          <w:szCs w:val="24"/>
          <w:shd w:val="clear" w:color="auto" w:fill="FFFFFF"/>
        </w:rPr>
      </w:pPr>
      <w:r w:rsidRPr="001E42FA">
        <w:rPr>
          <w:rFonts w:ascii="Times New Roman" w:hAnsi="Times New Roman" w:cs="Times New Roman"/>
          <w:color w:val="222222"/>
          <w:sz w:val="24"/>
          <w:szCs w:val="24"/>
          <w:shd w:val="clear" w:color="auto" w:fill="FFFFFF"/>
        </w:rPr>
        <w:t>Kovacs, G. G., Ferrer, I., Grinberg, L. T., Alafuzoff, I., Attems, J., Budka, H</w:t>
      </w:r>
      <w:r w:rsidR="00353D92" w:rsidRPr="001E42FA">
        <w:rPr>
          <w:rFonts w:ascii="Times New Roman" w:hAnsi="Times New Roman" w:cs="Times New Roman"/>
          <w:color w:val="222222"/>
          <w:sz w:val="24"/>
          <w:szCs w:val="24"/>
          <w:shd w:val="clear" w:color="auto" w:fill="FFFFFF"/>
        </w:rPr>
        <w:t>.,</w:t>
      </w:r>
      <w:r w:rsidRPr="001E42FA">
        <w:rPr>
          <w:rFonts w:ascii="Times New Roman" w:hAnsi="Times New Roman" w:cs="Times New Roman"/>
          <w:color w:val="222222"/>
          <w:sz w:val="24"/>
          <w:szCs w:val="24"/>
          <w:shd w:val="clear" w:color="auto" w:fill="FFFFFF"/>
        </w:rPr>
        <w:t xml:space="preserve"> &amp; Halliday, G. M. (2016). Aging-related tau astrogliopathy (ARTAG): harmonized evaluation strategy. </w:t>
      </w:r>
      <w:r w:rsidRPr="001E42FA">
        <w:rPr>
          <w:rFonts w:ascii="Times New Roman" w:hAnsi="Times New Roman" w:cs="Times New Roman"/>
          <w:i/>
          <w:iCs/>
          <w:color w:val="222222"/>
          <w:sz w:val="24"/>
          <w:szCs w:val="24"/>
          <w:shd w:val="clear" w:color="auto" w:fill="FFFFFF"/>
        </w:rPr>
        <w:t xml:space="preserve">Acta </w:t>
      </w:r>
      <w:r w:rsidR="00353D92" w:rsidRPr="001E42FA">
        <w:rPr>
          <w:rFonts w:ascii="Times New Roman" w:hAnsi="Times New Roman" w:cs="Times New Roman"/>
          <w:i/>
          <w:iCs/>
          <w:color w:val="222222"/>
          <w:sz w:val="24"/>
          <w:szCs w:val="24"/>
          <w:shd w:val="clear" w:color="auto" w:fill="FFFFFF"/>
        </w:rPr>
        <w:t>neuropathological</w:t>
      </w:r>
      <w:r w:rsidRPr="001E42FA">
        <w:rPr>
          <w:rFonts w:ascii="Times New Roman" w:hAnsi="Times New Roman" w:cs="Times New Roman"/>
          <w:color w:val="222222"/>
          <w:sz w:val="24"/>
          <w:szCs w:val="24"/>
          <w:shd w:val="clear" w:color="auto" w:fill="FFFFFF"/>
        </w:rPr>
        <w:t>, </w:t>
      </w:r>
      <w:r w:rsidRPr="001E42FA">
        <w:rPr>
          <w:rFonts w:ascii="Times New Roman" w:hAnsi="Times New Roman" w:cs="Times New Roman"/>
          <w:i/>
          <w:iCs/>
          <w:color w:val="222222"/>
          <w:sz w:val="24"/>
          <w:szCs w:val="24"/>
          <w:shd w:val="clear" w:color="auto" w:fill="FFFFFF"/>
        </w:rPr>
        <w:t>131</w:t>
      </w:r>
      <w:r w:rsidRPr="001E42FA">
        <w:rPr>
          <w:rFonts w:ascii="Times New Roman" w:hAnsi="Times New Roman" w:cs="Times New Roman"/>
          <w:color w:val="222222"/>
          <w:sz w:val="24"/>
          <w:szCs w:val="24"/>
          <w:shd w:val="clear" w:color="auto" w:fill="FFFFFF"/>
        </w:rPr>
        <w:t>(1), 87-102.</w:t>
      </w:r>
    </w:p>
    <w:sectPr w:rsidR="00E47EAB" w:rsidRPr="001E42FA" w:rsidSect="001E42F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110" w:rsidRDefault="00C91110">
      <w:pPr>
        <w:spacing w:after="0" w:line="240" w:lineRule="auto"/>
      </w:pPr>
      <w:r>
        <w:separator/>
      </w:r>
    </w:p>
  </w:endnote>
  <w:endnote w:type="continuationSeparator" w:id="0">
    <w:p w:rsidR="00C91110" w:rsidRDefault="00C9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110" w:rsidRDefault="00C91110">
      <w:pPr>
        <w:spacing w:after="0" w:line="240" w:lineRule="auto"/>
      </w:pPr>
      <w:r>
        <w:separator/>
      </w:r>
    </w:p>
  </w:footnote>
  <w:footnote w:type="continuationSeparator" w:id="0">
    <w:p w:rsidR="00C91110" w:rsidRDefault="00C91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409703"/>
      <w:docPartObj>
        <w:docPartGallery w:val="Page Numbers (Top of Page)"/>
        <w:docPartUnique/>
      </w:docPartObj>
    </w:sdtPr>
    <w:sdtEndPr>
      <w:rPr>
        <w:noProof/>
      </w:rPr>
    </w:sdtEndPr>
    <w:sdtContent>
      <w:p w:rsidR="001E42FA" w:rsidRDefault="00EC666B">
        <w:pPr>
          <w:pStyle w:val="Header"/>
          <w:jc w:val="right"/>
        </w:pPr>
        <w:r>
          <w:rPr>
            <w:sz w:val="24"/>
            <w:szCs w:val="24"/>
          </w:rPr>
          <w:t xml:space="preserve">LOBES OF A BRAIN          </w:t>
        </w:r>
        <w:r w:rsidRPr="00EC666B">
          <w:rPr>
            <w:sz w:val="24"/>
            <w:szCs w:val="24"/>
          </w:rPr>
          <w:t xml:space="preserve">                                                                                                                         </w:t>
        </w:r>
        <w:r w:rsidR="00C91110">
          <w:fldChar w:fldCharType="begin"/>
        </w:r>
        <w:r w:rsidR="00C91110">
          <w:instrText xml:space="preserve"> PAGE   \* MERGEFORMAT </w:instrText>
        </w:r>
        <w:r w:rsidR="00C91110">
          <w:fldChar w:fldCharType="separate"/>
        </w:r>
        <w:r>
          <w:rPr>
            <w:noProof/>
          </w:rPr>
          <w:t>5</w:t>
        </w:r>
        <w:r w:rsidR="00C91110">
          <w:rPr>
            <w:noProof/>
          </w:rPr>
          <w:fldChar w:fldCharType="end"/>
        </w:r>
      </w:p>
    </w:sdtContent>
  </w:sdt>
  <w:p w:rsidR="001E42FA" w:rsidRDefault="001E4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2FA" w:rsidRDefault="00C91110">
    <w:pPr>
      <w:pStyle w:val="Header"/>
      <w:jc w:val="right"/>
    </w:pPr>
    <w:r w:rsidRPr="001E42FA">
      <w:rPr>
        <w:rFonts w:ascii="Times New Roman" w:hAnsi="Times New Roman" w:cs="Times New Roman"/>
        <w:sz w:val="24"/>
        <w:szCs w:val="24"/>
      </w:rPr>
      <w:t xml:space="preserve">Running head: </w:t>
    </w:r>
    <w:r>
      <w:rPr>
        <w:rFonts w:ascii="Times New Roman" w:hAnsi="Times New Roman" w:cs="Times New Roman"/>
        <w:sz w:val="24"/>
        <w:szCs w:val="24"/>
      </w:rPr>
      <w:t xml:space="preserve">LOBES OF A BRAIN     </w:t>
    </w:r>
    <w:r w:rsidRPr="001E42FA">
      <w:rPr>
        <w:rFonts w:ascii="Times New Roman" w:hAnsi="Times New Roman" w:cs="Times New Roman"/>
        <w:sz w:val="24"/>
        <w:szCs w:val="24"/>
      </w:rPr>
      <w:t xml:space="preserve">                                                                                   </w:t>
    </w:r>
    <w:sdt>
      <w:sdtPr>
        <w:id w:val="-9214841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666B">
          <w:rPr>
            <w:noProof/>
          </w:rPr>
          <w:t>1</w:t>
        </w:r>
        <w:r>
          <w:rPr>
            <w:noProof/>
          </w:rPr>
          <w:fldChar w:fldCharType="end"/>
        </w:r>
      </w:sdtContent>
    </w:sdt>
  </w:p>
  <w:p w:rsidR="001E42FA" w:rsidRDefault="001E4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F3909"/>
    <w:multiLevelType w:val="hybridMultilevel"/>
    <w:tmpl w:val="9EE6559E"/>
    <w:lvl w:ilvl="0" w:tplc="A426D7AA">
      <w:start w:val="1"/>
      <w:numFmt w:val="lowerRoman"/>
      <w:lvlText w:val="%1."/>
      <w:lvlJc w:val="left"/>
      <w:pPr>
        <w:ind w:left="1440" w:hanging="720"/>
      </w:pPr>
      <w:rPr>
        <w:rFonts w:ascii="Times New Roman" w:eastAsiaTheme="minorHAnsi" w:hAnsi="Times New Roman" w:cs="Times New Roman"/>
        <w:color w:val="545454"/>
        <w:sz w:val="21"/>
      </w:rPr>
    </w:lvl>
    <w:lvl w:ilvl="1" w:tplc="2154EE42" w:tentative="1">
      <w:start w:val="1"/>
      <w:numFmt w:val="lowerLetter"/>
      <w:lvlText w:val="%2."/>
      <w:lvlJc w:val="left"/>
      <w:pPr>
        <w:ind w:left="1800" w:hanging="360"/>
      </w:pPr>
    </w:lvl>
    <w:lvl w:ilvl="2" w:tplc="EDDE2084" w:tentative="1">
      <w:start w:val="1"/>
      <w:numFmt w:val="lowerRoman"/>
      <w:lvlText w:val="%3."/>
      <w:lvlJc w:val="right"/>
      <w:pPr>
        <w:ind w:left="2520" w:hanging="180"/>
      </w:pPr>
    </w:lvl>
    <w:lvl w:ilvl="3" w:tplc="D764B434" w:tentative="1">
      <w:start w:val="1"/>
      <w:numFmt w:val="decimal"/>
      <w:lvlText w:val="%4."/>
      <w:lvlJc w:val="left"/>
      <w:pPr>
        <w:ind w:left="3240" w:hanging="360"/>
      </w:pPr>
    </w:lvl>
    <w:lvl w:ilvl="4" w:tplc="9C527A8C" w:tentative="1">
      <w:start w:val="1"/>
      <w:numFmt w:val="lowerLetter"/>
      <w:lvlText w:val="%5."/>
      <w:lvlJc w:val="left"/>
      <w:pPr>
        <w:ind w:left="3960" w:hanging="360"/>
      </w:pPr>
    </w:lvl>
    <w:lvl w:ilvl="5" w:tplc="EA1A980A" w:tentative="1">
      <w:start w:val="1"/>
      <w:numFmt w:val="lowerRoman"/>
      <w:lvlText w:val="%6."/>
      <w:lvlJc w:val="right"/>
      <w:pPr>
        <w:ind w:left="4680" w:hanging="180"/>
      </w:pPr>
    </w:lvl>
    <w:lvl w:ilvl="6" w:tplc="3BC41F4E" w:tentative="1">
      <w:start w:val="1"/>
      <w:numFmt w:val="decimal"/>
      <w:lvlText w:val="%7."/>
      <w:lvlJc w:val="left"/>
      <w:pPr>
        <w:ind w:left="5400" w:hanging="360"/>
      </w:pPr>
    </w:lvl>
    <w:lvl w:ilvl="7" w:tplc="3DB6B7C6" w:tentative="1">
      <w:start w:val="1"/>
      <w:numFmt w:val="lowerLetter"/>
      <w:lvlText w:val="%8."/>
      <w:lvlJc w:val="left"/>
      <w:pPr>
        <w:ind w:left="6120" w:hanging="360"/>
      </w:pPr>
    </w:lvl>
    <w:lvl w:ilvl="8" w:tplc="CF244F36"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0DB"/>
    <w:rsid w:val="00075DF4"/>
    <w:rsid w:val="001235E7"/>
    <w:rsid w:val="00123A4D"/>
    <w:rsid w:val="001268CE"/>
    <w:rsid w:val="00134336"/>
    <w:rsid w:val="001E42FA"/>
    <w:rsid w:val="0022214B"/>
    <w:rsid w:val="00246B63"/>
    <w:rsid w:val="00285850"/>
    <w:rsid w:val="00353D92"/>
    <w:rsid w:val="00435D19"/>
    <w:rsid w:val="00464DBC"/>
    <w:rsid w:val="0064047D"/>
    <w:rsid w:val="006977B8"/>
    <w:rsid w:val="007D6AAE"/>
    <w:rsid w:val="008C05B8"/>
    <w:rsid w:val="00943EA8"/>
    <w:rsid w:val="00A07539"/>
    <w:rsid w:val="00A970DB"/>
    <w:rsid w:val="00AB725D"/>
    <w:rsid w:val="00B00D6D"/>
    <w:rsid w:val="00B2771D"/>
    <w:rsid w:val="00B27DC8"/>
    <w:rsid w:val="00B3621A"/>
    <w:rsid w:val="00B54C09"/>
    <w:rsid w:val="00C859DB"/>
    <w:rsid w:val="00C906DD"/>
    <w:rsid w:val="00C91110"/>
    <w:rsid w:val="00D7373A"/>
    <w:rsid w:val="00DA2A27"/>
    <w:rsid w:val="00E47EAB"/>
    <w:rsid w:val="00E7500E"/>
    <w:rsid w:val="00E76FED"/>
    <w:rsid w:val="00E84AFF"/>
    <w:rsid w:val="00EC666B"/>
    <w:rsid w:val="00F00F4E"/>
    <w:rsid w:val="00FF0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9ABE4"/>
  <w15:chartTrackingRefBased/>
  <w15:docId w15:val="{36C12F7D-F04B-48B6-A009-62EFCA73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B63"/>
    <w:pPr>
      <w:ind w:left="720"/>
      <w:contextualSpacing/>
    </w:pPr>
  </w:style>
  <w:style w:type="paragraph" w:styleId="Header">
    <w:name w:val="header"/>
    <w:basedOn w:val="Normal"/>
    <w:link w:val="HeaderChar"/>
    <w:uiPriority w:val="99"/>
    <w:unhideWhenUsed/>
    <w:rsid w:val="001E4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2FA"/>
  </w:style>
  <w:style w:type="paragraph" w:styleId="Footer">
    <w:name w:val="footer"/>
    <w:basedOn w:val="Normal"/>
    <w:link w:val="FooterChar"/>
    <w:uiPriority w:val="99"/>
    <w:unhideWhenUsed/>
    <w:rsid w:val="001E4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4</cp:revision>
  <dcterms:created xsi:type="dcterms:W3CDTF">2019-12-13T06:54:00Z</dcterms:created>
  <dcterms:modified xsi:type="dcterms:W3CDTF">2019-12-13T07:00:00Z</dcterms:modified>
</cp:coreProperties>
</file>